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Unveiling the ECO4 Boiler Grant: A Sustainable Heating Solution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the realm of energy-efficient heating systems, the ECO4 Boiler Grant emerges as a beacon of sustainability and cost-effectiveness. Let's delve into the intricacies of this revolutionary grant program and discover how it can transform your home heating experience.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Understanding ECO4: A Green Initiative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Harnessing Renewable Energy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ECO4 Boiler Grant </w:t>
        </w:r>
      </w:hyperlink>
      <w:r w:rsidDel="00000000" w:rsidR="00000000" w:rsidRPr="00000000">
        <w:rPr>
          <w:rtl w:val="0"/>
        </w:rPr>
        <w:t xml:space="preserve">is not just a mere heating solution; it's a commitment to a greener future. By incentivizing the adoption of eco-friendly boilers, this program promotes the use of renewable energy sources, reducing carbon footprints and contributing to a cleaner environment.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Cost-Efficiency at Its Core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One of the standout features of the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ECO4 Grant </w:t>
        </w:r>
      </w:hyperlink>
      <w:r w:rsidDel="00000000" w:rsidR="00000000" w:rsidRPr="00000000">
        <w:rPr>
          <w:rtl w:val="0"/>
        </w:rPr>
        <w:t xml:space="preserve">is its emphasis on cost efficiency. Eligible recipients can enjoy significant savings on their energy bills, making sustainable living not just an eco-conscious choice but a financially savvy one.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 Application Process: Simplifying Sustainability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Streamlined Procedures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Applying for the ECO4 Boiler Grant is a hassle-free experience. The program boasts a user-friendly application process, ensuring that individuals can easily navigate through the necessary steps to secure their grant and embark on their journey towards a more sustainable home heating system.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Financial Support for All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Unlike traditional grant programs, ECO4 is designed to be inclusive. It provides financial support to a wide range of applicants, making the transition to an eco-friendly boiler a reality for homeowners from various financial backgrounds.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Benefits of ECO4: More Than Just Warmth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Reduced Environmental Impact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By opting for an ECO4-supported boiler, homeowners contribute to a collective effort in mitigating climate change. The reduction in greenhouse gas emissions aligns with global sustainability goals, creating a positive impact on the environment.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Enhanced Home Comfort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Beyond environmental benefits, ECO4-supported boilers are known for their efficiency in providing consistent and reliable heating. Homeowners can revel in the warmth of their homes, knowing they are contributing to a sustainable future.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Conclusion: A Sustainable Tomorrow Starts Today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 conclusion, the ECO4 Boiler Grant stands as a testament to the power of sustainable living. By embracing this initiative, homeowners not only enhance their quality of life but also play a pivotal role in shaping a greener, more environmentally conscious future. Explore the possibilities that ECO4 presents and take the first step towards a sustainable tomorrow.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rantboilers.org.uk/" TargetMode="External"/><Relationship Id="rId7" Type="http://schemas.openxmlformats.org/officeDocument/2006/relationships/hyperlink" Target="https://freeboilersgrant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